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711DA" w14:textId="7F17C200" w:rsidR="0032270F" w:rsidRPr="0032270F" w:rsidRDefault="00804F90" w:rsidP="00DD7A24">
      <w:pPr>
        <w:pStyle w:val="text-align-center"/>
        <w:spacing w:before="0" w:beforeAutospacing="0" w:after="0" w:afterAutospacing="0"/>
        <w:rPr>
          <w:b/>
          <w:bCs/>
          <w:color w:val="FF40FF"/>
          <w:sz w:val="32"/>
          <w:szCs w:val="32"/>
        </w:rPr>
      </w:pPr>
      <w:r>
        <w:rPr>
          <w:b/>
          <w:bCs/>
          <w:color w:val="FF40FF"/>
          <w:sz w:val="32"/>
          <w:szCs w:val="32"/>
        </w:rPr>
        <w:t>Les i</w:t>
      </w:r>
      <w:r w:rsidR="0032270F" w:rsidRPr="0032270F">
        <w:rPr>
          <w:b/>
          <w:bCs/>
          <w:color w:val="FF40FF"/>
          <w:sz w:val="32"/>
          <w:szCs w:val="32"/>
        </w:rPr>
        <w:t xml:space="preserve">ndications </w:t>
      </w:r>
      <w:r>
        <w:rPr>
          <w:b/>
          <w:bCs/>
          <w:color w:val="FF40FF"/>
          <w:sz w:val="32"/>
          <w:szCs w:val="32"/>
        </w:rPr>
        <w:t xml:space="preserve">les plus fréquentes </w:t>
      </w:r>
      <w:r w:rsidR="0032270F" w:rsidRPr="0032270F">
        <w:rPr>
          <w:b/>
          <w:bCs/>
          <w:color w:val="FF40FF"/>
          <w:sz w:val="32"/>
          <w:szCs w:val="32"/>
        </w:rPr>
        <w:t>de la Médecine Traditionnelle Chinoise</w:t>
      </w:r>
      <w:r w:rsidR="0032270F">
        <w:rPr>
          <w:b/>
          <w:bCs/>
          <w:color w:val="FF40FF"/>
          <w:sz w:val="32"/>
          <w:szCs w:val="32"/>
        </w:rPr>
        <w:t xml:space="preserve"> </w:t>
      </w:r>
    </w:p>
    <w:p w14:paraId="2195A76B" w14:textId="14327198" w:rsidR="0032270F" w:rsidRDefault="0032270F" w:rsidP="00DD7A24">
      <w:pPr>
        <w:pStyle w:val="text-align-center"/>
        <w:spacing w:before="0" w:beforeAutospacing="0" w:after="0" w:afterAutospacing="0"/>
        <w:rPr>
          <w:sz w:val="20"/>
          <w:szCs w:val="20"/>
        </w:rPr>
      </w:pPr>
    </w:p>
    <w:p w14:paraId="3031FDDD" w14:textId="711870C8" w:rsidR="0032270F" w:rsidRDefault="00D40A9E" w:rsidP="00DD7A24">
      <w:pPr>
        <w:pStyle w:val="text-align-center"/>
        <w:spacing w:before="0" w:beforeAutospacing="0" w:after="0" w:afterAutospacing="0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76882" wp14:editId="5661D1CC">
                <wp:simplePos x="0" y="0"/>
                <wp:positionH relativeFrom="column">
                  <wp:posOffset>5720862</wp:posOffset>
                </wp:positionH>
                <wp:positionV relativeFrom="paragraph">
                  <wp:posOffset>206423</wp:posOffset>
                </wp:positionV>
                <wp:extent cx="902676" cy="515815"/>
                <wp:effectExtent l="0" t="0" r="0" b="5080"/>
                <wp:wrapNone/>
                <wp:docPr id="70530003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676" cy="51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818DB" w14:textId="22EAC328" w:rsidR="00804F90" w:rsidRDefault="00804F90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34D9200" wp14:editId="39DEC43E">
                                  <wp:extent cx="680344" cy="386715"/>
                                  <wp:effectExtent l="0" t="0" r="5715" b="0"/>
                                  <wp:docPr id="876046914" name="Image 1" descr="Une image contenant Graphique, croquis, clipart, symbo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8653775" name="Image 1" descr="Une image contenant Graphique, croquis, clipart, symbol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150" cy="3894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7688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0.45pt;margin-top:16.25pt;width:71.1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" fillcolor="white [3201]" stroked="f" strokeweight=".5pt">
                <v:textbox>
                  <w:txbxContent>
                    <w:p w14:paraId="65D818DB" w14:textId="22EAC328" w:rsidR="00804F90" w:rsidRDefault="00804F90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34D9200" wp14:editId="39DEC43E">
                            <wp:extent cx="680344" cy="386715"/>
                            <wp:effectExtent l="0" t="0" r="5715" b="0"/>
                            <wp:docPr id="876046914" name="Image 1" descr="Une image contenant Graphique, croquis, clipart, symbo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8653775" name="Image 1" descr="Une image contenant Graphique, croquis, clipart, symbole&#10;&#10;Description générée automatiquement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150" cy="3894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7A24" w:rsidRPr="00DD7A24">
        <w:rPr>
          <w:sz w:val="20"/>
          <w:szCs w:val="20"/>
        </w:rPr>
        <w:t xml:space="preserve">La liste ci-dessous énumère les maladies et les troubles chez l'adulte que la </w:t>
      </w:r>
      <w:r w:rsidR="00DD7A24" w:rsidRPr="0032270F">
        <w:rPr>
          <w:sz w:val="20"/>
          <w:szCs w:val="20"/>
        </w:rPr>
        <w:t>MTC traite</w:t>
      </w:r>
      <w:r w:rsidR="00DD7A24" w:rsidRPr="00DD7A24">
        <w:rPr>
          <w:sz w:val="20"/>
          <w:szCs w:val="20"/>
        </w:rPr>
        <w:t xml:space="preserve"> ou soulage de manière particulièrement efficace.  Ces indications s’appuient sur les recommandations de l’Organisation Mondiale de la Santé (OMS).  </w:t>
      </w:r>
    </w:p>
    <w:p w14:paraId="2B7783A6" w14:textId="090C0BEB" w:rsidR="00DD7A24" w:rsidRPr="0032270F" w:rsidRDefault="00DD7A24" w:rsidP="00DD7A24">
      <w:pPr>
        <w:pStyle w:val="text-align-center"/>
        <w:spacing w:before="0" w:beforeAutospacing="0" w:after="0" w:afterAutospacing="0"/>
        <w:rPr>
          <w:color w:val="0432FF"/>
          <w:sz w:val="20"/>
          <w:szCs w:val="20"/>
        </w:rPr>
      </w:pPr>
      <w:r w:rsidRPr="00DD7A24">
        <w:rPr>
          <w:sz w:val="20"/>
          <w:szCs w:val="20"/>
        </w:rPr>
        <w:t>Cette liste n’est pas exhaustive, mais donne une idée du champ d’application de la MTC.</w:t>
      </w:r>
      <w:r w:rsidR="00804F90" w:rsidRPr="00804F90">
        <w:rPr>
          <w:noProof/>
          <w:sz w:val="20"/>
          <w:szCs w:val="20"/>
          <w14:ligatures w14:val="standardContextual"/>
        </w:rPr>
        <w:t xml:space="preserve"> </w:t>
      </w:r>
      <w:r w:rsidRPr="00DD7A24">
        <w:rPr>
          <w:sz w:val="20"/>
          <w:szCs w:val="20"/>
        </w:rPr>
        <w:br/>
      </w:r>
      <w:r w:rsidRPr="00DD7A24">
        <w:rPr>
          <w:sz w:val="20"/>
          <w:szCs w:val="20"/>
        </w:rPr>
        <w:br/>
      </w:r>
      <w:r w:rsidRPr="0032270F">
        <w:rPr>
          <w:rStyle w:val="lev"/>
          <w:color w:val="0432FF"/>
          <w:sz w:val="20"/>
          <w:szCs w:val="20"/>
        </w:rPr>
        <w:t>ADULTE/ADOLESCENT </w:t>
      </w:r>
    </w:p>
    <w:p w14:paraId="29B95815" w14:textId="081B67BD" w:rsidR="00DD7A24" w:rsidRPr="00DD7A24" w:rsidRDefault="00DD7A24" w:rsidP="00DD7A24">
      <w:pPr>
        <w:pStyle w:val="text-align-center"/>
        <w:spacing w:before="0" w:beforeAutospacing="0" w:after="0" w:afterAutospacing="0"/>
        <w:rPr>
          <w:sz w:val="20"/>
          <w:szCs w:val="20"/>
        </w:rPr>
      </w:pPr>
      <w:r w:rsidRPr="00DD7A24">
        <w:rPr>
          <w:sz w:val="20"/>
          <w:szCs w:val="20"/>
        </w:rPr>
        <w:t>Vertiges</w:t>
      </w:r>
      <w:r w:rsidRPr="00DD7A24">
        <w:rPr>
          <w:sz w:val="20"/>
          <w:szCs w:val="20"/>
        </w:rPr>
        <w:br/>
        <w:t>Acouphènes (Bourdonnements d’oreilles), Maladie de Ménière</w:t>
      </w:r>
      <w:r w:rsidRPr="00DD7A24">
        <w:rPr>
          <w:sz w:val="20"/>
          <w:szCs w:val="20"/>
        </w:rPr>
        <w:br/>
        <w:t>Céphalée (maux de tête), Névralgie d'Arnold</w:t>
      </w:r>
      <w:r w:rsidRPr="00DD7A24">
        <w:rPr>
          <w:sz w:val="20"/>
          <w:szCs w:val="20"/>
        </w:rPr>
        <w:br/>
        <w:t>Paresthésie (fourmillements)</w:t>
      </w:r>
      <w:r w:rsidRPr="00DD7A24">
        <w:rPr>
          <w:sz w:val="20"/>
          <w:szCs w:val="20"/>
        </w:rPr>
        <w:br/>
        <w:t>Crampes</w:t>
      </w:r>
      <w:r w:rsidRPr="00DD7A24">
        <w:rPr>
          <w:sz w:val="20"/>
          <w:szCs w:val="20"/>
        </w:rPr>
        <w:br/>
        <w:t>Névralgie et paralysie faciale</w:t>
      </w:r>
      <w:r w:rsidRPr="00DD7A24">
        <w:rPr>
          <w:b/>
          <w:bCs/>
          <w:sz w:val="20"/>
          <w:szCs w:val="20"/>
        </w:rPr>
        <w:br/>
      </w:r>
      <w:r w:rsidRPr="00DD7A24">
        <w:rPr>
          <w:rStyle w:val="lev"/>
          <w:sz w:val="20"/>
          <w:szCs w:val="20"/>
        </w:rPr>
        <w:t>D</w:t>
      </w:r>
      <w:r w:rsidRPr="00DD7A24">
        <w:rPr>
          <w:sz w:val="20"/>
          <w:szCs w:val="20"/>
        </w:rPr>
        <w:t>ouleur lombaire, dorsale, cervicale et des articulations (coude, épaule, genoux, hanche), Arthrite, Arthrose, Rhumatisme, Tendinite</w:t>
      </w:r>
      <w:r w:rsidRPr="00DD7A24">
        <w:rPr>
          <w:sz w:val="20"/>
          <w:szCs w:val="20"/>
        </w:rPr>
        <w:br/>
        <w:t>Sciatique, Cruralgie</w:t>
      </w:r>
      <w:r w:rsidRPr="00DD7A24">
        <w:rPr>
          <w:sz w:val="20"/>
          <w:szCs w:val="20"/>
        </w:rPr>
        <w:br/>
        <w:t>Renforcement du processus de guérison après fracture ou entorse</w:t>
      </w:r>
      <w:r w:rsidRPr="00DD7A24">
        <w:rPr>
          <w:sz w:val="20"/>
          <w:szCs w:val="20"/>
        </w:rPr>
        <w:br/>
        <w:t>Diminution des douleurs aiguës, chroniques et post-opératoires</w:t>
      </w:r>
      <w:r w:rsidRPr="00DD7A24">
        <w:rPr>
          <w:sz w:val="20"/>
          <w:szCs w:val="20"/>
        </w:rPr>
        <w:br/>
        <w:t>Anémie, Leucopénie, Thrombopénie</w:t>
      </w:r>
      <w:r w:rsidRPr="00DD7A24">
        <w:rPr>
          <w:sz w:val="20"/>
          <w:szCs w:val="20"/>
        </w:rPr>
        <w:br/>
        <w:t>Oppression thoracique, asthme bronchique, trachéite chronique, toux, rhume des foins</w:t>
      </w:r>
      <w:r w:rsidRPr="00DD7A24">
        <w:rPr>
          <w:sz w:val="20"/>
          <w:szCs w:val="20"/>
        </w:rPr>
        <w:br/>
        <w:t>Troubles du cycle menstruel (douleur des règles, règles irrégulières, abondantes ou absence de règles)</w:t>
      </w:r>
      <w:r w:rsidRPr="00DD7A24">
        <w:rPr>
          <w:sz w:val="20"/>
          <w:szCs w:val="20"/>
        </w:rPr>
        <w:br/>
        <w:t>Troubles de la ménopause (bouffée de chaleur)</w:t>
      </w:r>
      <w:r w:rsidRPr="00DD7A24">
        <w:rPr>
          <w:sz w:val="20"/>
          <w:szCs w:val="20"/>
        </w:rPr>
        <w:br/>
        <w:t>Incontinence et rétention urinaire</w:t>
      </w:r>
      <w:r w:rsidRPr="00DD7A24">
        <w:rPr>
          <w:sz w:val="20"/>
          <w:szCs w:val="20"/>
        </w:rPr>
        <w:br/>
        <w:t>Troubles sexuels et problèmes de fertilité</w:t>
      </w:r>
      <w:r w:rsidRPr="00DD7A24">
        <w:rPr>
          <w:sz w:val="20"/>
          <w:szCs w:val="20"/>
        </w:rPr>
        <w:br/>
        <w:t>Douleur de l'estomac, Hyper-acidité, Ballonnements, Manque d'appétit</w:t>
      </w:r>
      <w:r w:rsidRPr="00DD7A24">
        <w:rPr>
          <w:sz w:val="20"/>
          <w:szCs w:val="20"/>
        </w:rPr>
        <w:br/>
        <w:t>Nausées, Vomissements,</w:t>
      </w:r>
      <w:r w:rsidRPr="00DD7A24">
        <w:rPr>
          <w:sz w:val="20"/>
          <w:szCs w:val="20"/>
        </w:rPr>
        <w:br/>
        <w:t>Constipation, Diarrhée</w:t>
      </w:r>
      <w:r w:rsidRPr="00DD7A24">
        <w:rPr>
          <w:sz w:val="20"/>
          <w:szCs w:val="20"/>
        </w:rPr>
        <w:br/>
        <w:t xml:space="preserve">Maladies inflammatoires intestinales (Maladie de </w:t>
      </w:r>
      <w:proofErr w:type="spellStart"/>
      <w:r w:rsidRPr="00DD7A24">
        <w:rPr>
          <w:sz w:val="20"/>
          <w:szCs w:val="20"/>
        </w:rPr>
        <w:t>Crohn</w:t>
      </w:r>
      <w:proofErr w:type="spellEnd"/>
      <w:r w:rsidRPr="00DD7A24">
        <w:rPr>
          <w:sz w:val="20"/>
          <w:szCs w:val="20"/>
        </w:rPr>
        <w:t xml:space="preserve"> et Recto-colite hémorragique)</w:t>
      </w:r>
      <w:r w:rsidRPr="00DD7A24">
        <w:rPr>
          <w:sz w:val="20"/>
          <w:szCs w:val="20"/>
        </w:rPr>
        <w:br/>
        <w:t>Douleur buccale (gencives, aphtes) et de l'articulation temporo-mandibulaire</w:t>
      </w:r>
      <w:r w:rsidRPr="00DD7A24">
        <w:rPr>
          <w:sz w:val="20"/>
          <w:szCs w:val="20"/>
        </w:rPr>
        <w:br/>
        <w:t>Problème de peau (acné</w:t>
      </w:r>
      <w:r w:rsidRPr="00DD7A24">
        <w:rPr>
          <w:rStyle w:val="lev"/>
          <w:sz w:val="20"/>
          <w:szCs w:val="20"/>
        </w:rPr>
        <w:t xml:space="preserve">, </w:t>
      </w:r>
      <w:r w:rsidRPr="00DD7A24">
        <w:rPr>
          <w:sz w:val="20"/>
          <w:szCs w:val="20"/>
        </w:rPr>
        <w:t>eczéma, psoriasis)</w:t>
      </w:r>
      <w:r w:rsidRPr="00DD7A24">
        <w:rPr>
          <w:sz w:val="20"/>
          <w:szCs w:val="20"/>
        </w:rPr>
        <w:br/>
        <w:t>Troubles du sommeil</w:t>
      </w:r>
      <w:r w:rsidRPr="00DD7A24">
        <w:rPr>
          <w:sz w:val="20"/>
          <w:szCs w:val="20"/>
        </w:rPr>
        <w:br/>
        <w:t>Fatigue physique et nerveuse</w:t>
      </w:r>
      <w:r w:rsidRPr="00DD7A24">
        <w:rPr>
          <w:sz w:val="20"/>
          <w:szCs w:val="20"/>
        </w:rPr>
        <w:br/>
      </w:r>
      <w:r w:rsidR="0032270F" w:rsidRPr="00DD7A24">
        <w:rPr>
          <w:sz w:val="20"/>
          <w:szCs w:val="20"/>
        </w:rPr>
        <w:t>Émotions</w:t>
      </w:r>
      <w:r w:rsidRPr="00DD7A24">
        <w:rPr>
          <w:sz w:val="20"/>
          <w:szCs w:val="20"/>
        </w:rPr>
        <w:t xml:space="preserve"> intenses, Anxiété, État dépressif</w:t>
      </w:r>
      <w:r w:rsidRPr="00DD7A24">
        <w:rPr>
          <w:sz w:val="20"/>
          <w:szCs w:val="20"/>
        </w:rPr>
        <w:br/>
        <w:t>Soulage les effets secondaires de la radiothérapie et chimiothérapie (nausées, vomissements, épuisement, sécheresse, syndrome main pied, angoisse, insomnie)</w:t>
      </w:r>
      <w:r w:rsidRPr="00DD7A24">
        <w:rPr>
          <w:sz w:val="20"/>
          <w:szCs w:val="20"/>
        </w:rPr>
        <w:br/>
        <w:t>Aide à l’arrêt du tabac</w:t>
      </w:r>
      <w:r w:rsidR="0032270F">
        <w:rPr>
          <w:sz w:val="20"/>
          <w:szCs w:val="20"/>
        </w:rPr>
        <w:t>….</w:t>
      </w:r>
      <w:r w:rsidRPr="00DD7A24">
        <w:rPr>
          <w:sz w:val="20"/>
          <w:szCs w:val="20"/>
        </w:rPr>
        <w:br/>
      </w:r>
    </w:p>
    <w:p w14:paraId="4674E7BC" w14:textId="77777777" w:rsidR="00DD7A24" w:rsidRPr="0032270F" w:rsidRDefault="00DD7A24" w:rsidP="00DD7A24">
      <w:pPr>
        <w:pStyle w:val="text-align-center"/>
        <w:spacing w:before="0" w:beforeAutospacing="0" w:after="0" w:afterAutospacing="0"/>
        <w:rPr>
          <w:color w:val="0432FF"/>
          <w:sz w:val="20"/>
          <w:szCs w:val="20"/>
        </w:rPr>
      </w:pPr>
      <w:r w:rsidRPr="0032270F">
        <w:rPr>
          <w:rStyle w:val="lev"/>
          <w:color w:val="0432FF"/>
          <w:sz w:val="20"/>
          <w:szCs w:val="20"/>
        </w:rPr>
        <w:t>FEMME ENCEINTE</w:t>
      </w:r>
    </w:p>
    <w:p w14:paraId="0DEAE36D" w14:textId="77777777" w:rsidR="00DD7A24" w:rsidRPr="00DD7A24" w:rsidRDefault="00DD7A24" w:rsidP="00DD7A24">
      <w:pPr>
        <w:pStyle w:val="text-align-center"/>
        <w:spacing w:before="0" w:beforeAutospacing="0" w:after="0" w:afterAutospacing="0"/>
        <w:rPr>
          <w:sz w:val="20"/>
          <w:szCs w:val="20"/>
        </w:rPr>
      </w:pPr>
      <w:r w:rsidRPr="00DD7A24">
        <w:rPr>
          <w:sz w:val="20"/>
          <w:szCs w:val="20"/>
        </w:rPr>
        <w:t>Nausée, vomissement, brûlure d’estomac</w:t>
      </w:r>
      <w:r w:rsidRPr="00DD7A24">
        <w:rPr>
          <w:sz w:val="20"/>
          <w:szCs w:val="20"/>
        </w:rPr>
        <w:br/>
        <w:t>Constipation</w:t>
      </w:r>
      <w:r w:rsidRPr="00DD7A24">
        <w:rPr>
          <w:sz w:val="20"/>
          <w:szCs w:val="20"/>
        </w:rPr>
        <w:br/>
        <w:t>Position du bébé en siège (à partir de la 34ème semaines)</w:t>
      </w:r>
    </w:p>
    <w:p w14:paraId="0723950F" w14:textId="0A073676" w:rsidR="00DD7A24" w:rsidRPr="00DD7A24" w:rsidRDefault="00DD7A24" w:rsidP="00DD7A24">
      <w:pPr>
        <w:pStyle w:val="text-align-center"/>
        <w:spacing w:before="0" w:beforeAutospacing="0" w:after="0" w:afterAutospacing="0"/>
        <w:rPr>
          <w:sz w:val="20"/>
          <w:szCs w:val="20"/>
        </w:rPr>
      </w:pPr>
      <w:r w:rsidRPr="00DD7A24">
        <w:rPr>
          <w:sz w:val="20"/>
          <w:szCs w:val="20"/>
        </w:rPr>
        <w:t>Hémorroïdes et varices vulvaires</w:t>
      </w:r>
      <w:r w:rsidRPr="00DD7A24">
        <w:rPr>
          <w:sz w:val="20"/>
          <w:szCs w:val="20"/>
        </w:rPr>
        <w:br/>
        <w:t>Fatigue, épuisement </w:t>
      </w:r>
      <w:r w:rsidRPr="00DD7A24">
        <w:rPr>
          <w:sz w:val="20"/>
          <w:szCs w:val="20"/>
        </w:rPr>
        <w:br/>
        <w:t xml:space="preserve">Douleur </w:t>
      </w:r>
      <w:r w:rsidR="0032270F" w:rsidRPr="00DD7A24">
        <w:rPr>
          <w:sz w:val="20"/>
          <w:szCs w:val="20"/>
        </w:rPr>
        <w:t>musculosquelettique</w:t>
      </w:r>
      <w:r w:rsidRPr="00DD7A24">
        <w:rPr>
          <w:sz w:val="20"/>
          <w:szCs w:val="20"/>
        </w:rPr>
        <w:br/>
        <w:t>Insomnie</w:t>
      </w:r>
      <w:r w:rsidRPr="00DD7A24">
        <w:rPr>
          <w:sz w:val="20"/>
          <w:szCs w:val="20"/>
        </w:rPr>
        <w:br/>
        <w:t>Anxiété, Dépression</w:t>
      </w:r>
      <w:r w:rsidRPr="00DD7A24">
        <w:rPr>
          <w:sz w:val="20"/>
          <w:szCs w:val="20"/>
        </w:rPr>
        <w:br/>
      </w:r>
      <w:r w:rsidR="0032270F" w:rsidRPr="00DD7A24">
        <w:rPr>
          <w:sz w:val="20"/>
          <w:szCs w:val="20"/>
        </w:rPr>
        <w:t>Œdèmes</w:t>
      </w:r>
      <w:r w:rsidRPr="00DD7A24">
        <w:rPr>
          <w:sz w:val="20"/>
          <w:szCs w:val="20"/>
        </w:rPr>
        <w:t> </w:t>
      </w:r>
      <w:r w:rsidRPr="00DD7A24">
        <w:rPr>
          <w:sz w:val="20"/>
          <w:szCs w:val="20"/>
        </w:rPr>
        <w:br/>
        <w:t>Travail retardé</w:t>
      </w:r>
    </w:p>
    <w:p w14:paraId="7B1A065C" w14:textId="77777777" w:rsidR="00DD7A24" w:rsidRPr="00DD7A24" w:rsidRDefault="00DD7A24" w:rsidP="00DD7A24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072F42E" w14:textId="77777777" w:rsidR="00DD7A24" w:rsidRPr="0032270F" w:rsidRDefault="00DD7A24" w:rsidP="00DD7A24">
      <w:pPr>
        <w:pStyle w:val="text-align-center"/>
        <w:spacing w:before="0" w:beforeAutospacing="0" w:after="0" w:afterAutospacing="0"/>
        <w:rPr>
          <w:color w:val="0432FF"/>
          <w:sz w:val="20"/>
          <w:szCs w:val="20"/>
        </w:rPr>
      </w:pPr>
      <w:r w:rsidRPr="0032270F">
        <w:rPr>
          <w:rStyle w:val="lev"/>
          <w:color w:val="0432FF"/>
          <w:sz w:val="20"/>
          <w:szCs w:val="20"/>
        </w:rPr>
        <w:t>NOURRISSON/ENFANT (Massages et Acupression)</w:t>
      </w:r>
    </w:p>
    <w:p w14:paraId="450E4CD2" w14:textId="5CEB5EF3" w:rsidR="00DD7A24" w:rsidRPr="00DD7A24" w:rsidRDefault="00DD7A24" w:rsidP="00DD7A24">
      <w:pPr>
        <w:pStyle w:val="text-align-center"/>
        <w:spacing w:before="0" w:beforeAutospacing="0" w:after="0" w:afterAutospacing="0"/>
        <w:rPr>
          <w:sz w:val="20"/>
          <w:szCs w:val="20"/>
        </w:rPr>
      </w:pPr>
      <w:r w:rsidRPr="00DD7A24">
        <w:rPr>
          <w:sz w:val="20"/>
          <w:szCs w:val="20"/>
        </w:rPr>
        <w:t>Poussée dentaire</w:t>
      </w:r>
      <w:r w:rsidRPr="00DD7A24">
        <w:rPr>
          <w:sz w:val="20"/>
          <w:szCs w:val="20"/>
        </w:rPr>
        <w:br/>
        <w:t>Aphtes</w:t>
      </w:r>
      <w:r w:rsidRPr="00DD7A24">
        <w:rPr>
          <w:sz w:val="20"/>
          <w:szCs w:val="20"/>
        </w:rPr>
        <w:br/>
        <w:t>Maux de ventre</w:t>
      </w:r>
      <w:r w:rsidRPr="00DD7A24">
        <w:rPr>
          <w:sz w:val="20"/>
          <w:szCs w:val="20"/>
        </w:rPr>
        <w:br/>
        <w:t>Constipation</w:t>
      </w:r>
      <w:r w:rsidRPr="00DD7A24">
        <w:rPr>
          <w:sz w:val="20"/>
          <w:szCs w:val="20"/>
        </w:rPr>
        <w:br/>
        <w:t>Diarrhée</w:t>
      </w:r>
      <w:r w:rsidRPr="00DD7A24">
        <w:rPr>
          <w:sz w:val="20"/>
          <w:szCs w:val="20"/>
        </w:rPr>
        <w:br/>
        <w:t>Reflux gastro-œsophagien</w:t>
      </w:r>
      <w:r w:rsidRPr="00DD7A24">
        <w:rPr>
          <w:sz w:val="20"/>
          <w:szCs w:val="20"/>
        </w:rPr>
        <w:br/>
        <w:t>Anorexie</w:t>
      </w:r>
      <w:r w:rsidRPr="00DD7A24">
        <w:rPr>
          <w:sz w:val="20"/>
          <w:szCs w:val="20"/>
        </w:rPr>
        <w:br/>
        <w:t>Énurésie</w:t>
      </w:r>
      <w:r w:rsidRPr="00DD7A24">
        <w:rPr>
          <w:sz w:val="20"/>
          <w:szCs w:val="20"/>
        </w:rPr>
        <w:br/>
        <w:t>Troubles du sommeil</w:t>
      </w:r>
      <w:r w:rsidRPr="00DD7A24">
        <w:rPr>
          <w:sz w:val="20"/>
          <w:szCs w:val="20"/>
        </w:rPr>
        <w:br/>
        <w:t>Hyperactivité</w:t>
      </w:r>
      <w:r w:rsidRPr="00DD7A24">
        <w:rPr>
          <w:sz w:val="20"/>
          <w:szCs w:val="20"/>
        </w:rPr>
        <w:br/>
      </w:r>
      <w:r w:rsidR="0032270F" w:rsidRPr="00DD7A24">
        <w:rPr>
          <w:sz w:val="20"/>
          <w:szCs w:val="20"/>
        </w:rPr>
        <w:t>Eczéma</w:t>
      </w:r>
    </w:p>
    <w:p w14:paraId="0824389F" w14:textId="54E01460" w:rsidR="00DD7A24" w:rsidRDefault="00DD7A24" w:rsidP="00DD7A24">
      <w:pPr>
        <w:rPr>
          <w:sz w:val="20"/>
          <w:szCs w:val="20"/>
        </w:rPr>
      </w:pPr>
    </w:p>
    <w:p w14:paraId="08CAC8A0" w14:textId="77777777" w:rsidR="00BE0CDE" w:rsidRDefault="00BE0CDE" w:rsidP="00DD7A24">
      <w:pPr>
        <w:rPr>
          <w:sz w:val="20"/>
          <w:szCs w:val="20"/>
        </w:rPr>
      </w:pPr>
    </w:p>
    <w:p w14:paraId="5BE08226" w14:textId="77777777" w:rsidR="00BE0CDE" w:rsidRPr="00DD7A24" w:rsidRDefault="00BE0CDE" w:rsidP="00DD7A24">
      <w:pPr>
        <w:rPr>
          <w:sz w:val="20"/>
          <w:szCs w:val="20"/>
        </w:rPr>
      </w:pPr>
    </w:p>
    <w:sectPr w:rsidR="00BE0CDE" w:rsidRPr="00DD7A24" w:rsidSect="00DD7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24"/>
    <w:rsid w:val="001903E5"/>
    <w:rsid w:val="002D3D5B"/>
    <w:rsid w:val="0032270F"/>
    <w:rsid w:val="007305CF"/>
    <w:rsid w:val="007626E1"/>
    <w:rsid w:val="00804F90"/>
    <w:rsid w:val="00B420C0"/>
    <w:rsid w:val="00BE0CDE"/>
    <w:rsid w:val="00D40A9E"/>
    <w:rsid w:val="00D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BAA4"/>
  <w15:chartTrackingRefBased/>
  <w15:docId w15:val="{0DA20A7C-CED5-4340-AD62-632E3B30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E0CD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-align-center">
    <w:name w:val="text-align-center"/>
    <w:basedOn w:val="Normal"/>
    <w:rsid w:val="00DD7A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D7A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7A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BE0CDE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VANEL SANDRA</dc:creator>
  <cp:keywords/>
  <dc:description/>
  <cp:lastModifiedBy>VANEL SANDRA</cp:lastModifiedBy>
  <cp:revision>13</cp:revision>
  <cp:lastPrinted>2023-11-09T13:35:00Z</cp:lastPrinted>
  <dcterms:created xsi:type="dcterms:W3CDTF">2023-11-09T12:50:00Z</dcterms:created>
  <dcterms:modified xsi:type="dcterms:W3CDTF">2024-11-25T12:42:00Z</dcterms:modified>
</cp:coreProperties>
</file>